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nt"/>
        <w:tblW w:w="0" w:type="auto"/>
        <w:tblInd w:w="0" w:type="dxa"/>
        <w:tblLook w:val="01E0" w:firstRow="1" w:lastRow="1" w:firstColumn="1" w:lastColumn="1" w:noHBand="0" w:noVBand="0"/>
      </w:tblPr>
      <w:tblGrid>
        <w:gridCol w:w="3449"/>
        <w:gridCol w:w="5613"/>
      </w:tblGrid>
      <w:tr w:rsidR="00000000" w14:paraId="21826B84" w14:textId="77777777">
        <w:tc>
          <w:tcPr>
            <w:tcW w:w="3528" w:type="dxa"/>
            <w:hideMark/>
          </w:tcPr>
          <w:p w14:paraId="0A94A1BF" w14:textId="77777777" w:rsidR="00000000" w:rsidRDefault="007D6DFA">
            <w:pPr>
              <w:rPr>
                <w:sz w:val="72"/>
                <w:szCs w:val="72"/>
              </w:rPr>
            </w:pPr>
            <w:bookmarkStart w:id="0" w:name="_GoBack"/>
            <w:bookmarkEnd w:id="0"/>
            <w:r>
              <w:rPr>
                <w:sz w:val="72"/>
                <w:szCs w:val="72"/>
              </w:rPr>
              <w:t xml:space="preserve">    </w:t>
            </w:r>
            <w:r>
              <w:rPr>
                <w:noProof/>
                <w:sz w:val="72"/>
                <w:szCs w:val="72"/>
                <w:lang w:val="sv-SE" w:eastAsia="sv-SE" w:bidi="ar-SA"/>
              </w:rPr>
              <w:drawing>
                <wp:inline distT="0" distB="0" distL="0" distR="0" wp14:anchorId="626DB888" wp14:editId="264D35B7">
                  <wp:extent cx="1460500" cy="2857500"/>
                  <wp:effectExtent l="0" t="0" r="12700" b="12700"/>
                  <wp:docPr id="1" name="Bild 1" descr="TripolisBladet_Vänster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polisBladet_Vänster_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0500" cy="2857500"/>
                          </a:xfrm>
                          <a:prstGeom prst="rect">
                            <a:avLst/>
                          </a:prstGeom>
                          <a:noFill/>
                          <a:ln>
                            <a:noFill/>
                          </a:ln>
                        </pic:spPr>
                      </pic:pic>
                    </a:graphicData>
                  </a:graphic>
                </wp:inline>
              </w:drawing>
            </w:r>
          </w:p>
        </w:tc>
        <w:tc>
          <w:tcPr>
            <w:tcW w:w="5684" w:type="dxa"/>
          </w:tcPr>
          <w:p w14:paraId="030DDCAE" w14:textId="77777777" w:rsidR="00000000" w:rsidRDefault="007D6DFA">
            <w:pPr>
              <w:rPr>
                <w:sz w:val="88"/>
                <w:szCs w:val="88"/>
                <w:u w:val="single"/>
              </w:rPr>
            </w:pPr>
            <w:r>
              <w:rPr>
                <w:sz w:val="88"/>
                <w:szCs w:val="88"/>
                <w:u w:val="single"/>
              </w:rPr>
              <w:t>T R I P O L I S</w:t>
            </w:r>
          </w:p>
          <w:p w14:paraId="45D7B858" w14:textId="77777777" w:rsidR="00000000" w:rsidRDefault="007D6DFA">
            <w:pPr>
              <w:rPr>
                <w:sz w:val="28"/>
                <w:szCs w:val="28"/>
              </w:rPr>
            </w:pPr>
            <w:r>
              <w:rPr>
                <w:sz w:val="28"/>
                <w:szCs w:val="28"/>
              </w:rPr>
              <w:t>BOSTADSRÄTTSFÖRENINGEN TRIPOLIS</w:t>
            </w:r>
          </w:p>
          <w:p w14:paraId="7FC7E1D8" w14:textId="77777777" w:rsidR="00000000" w:rsidRDefault="007D6DFA">
            <w:pPr>
              <w:rPr>
                <w:b/>
                <w:sz w:val="36"/>
                <w:szCs w:val="36"/>
              </w:rPr>
            </w:pPr>
          </w:p>
          <w:tbl>
            <w:tblPr>
              <w:tblStyle w:val="Tabellrutnt"/>
              <w:tblW w:w="0" w:type="auto"/>
              <w:tblInd w:w="0" w:type="dxa"/>
              <w:tblLook w:val="01E0" w:firstRow="1" w:lastRow="1" w:firstColumn="1" w:lastColumn="1" w:noHBand="0" w:noVBand="0"/>
            </w:tblPr>
            <w:tblGrid>
              <w:gridCol w:w="4913"/>
            </w:tblGrid>
            <w:tr w:rsidR="00000000" w14:paraId="0C32CD92" w14:textId="77777777">
              <w:tc>
                <w:tcPr>
                  <w:tcW w:w="4913" w:type="dxa"/>
                  <w:tcBorders>
                    <w:top w:val="single" w:sz="4" w:space="0" w:color="auto"/>
                    <w:left w:val="single" w:sz="4" w:space="0" w:color="auto"/>
                    <w:bottom w:val="single" w:sz="4" w:space="0" w:color="auto"/>
                    <w:right w:val="single" w:sz="4" w:space="0" w:color="auto"/>
                  </w:tcBorders>
                  <w:hideMark/>
                </w:tcPr>
                <w:p w14:paraId="32301AC6" w14:textId="77777777" w:rsidR="00000000" w:rsidRDefault="007D6DFA">
                  <w:pPr>
                    <w:jc w:val="center"/>
                    <w:rPr>
                      <w:b/>
                      <w:sz w:val="72"/>
                      <w:szCs w:val="72"/>
                    </w:rPr>
                  </w:pPr>
                  <w:r>
                    <w:rPr>
                      <w:b/>
                      <w:sz w:val="72"/>
                      <w:szCs w:val="72"/>
                    </w:rPr>
                    <w:t>Tripolisbladet</w:t>
                  </w:r>
                </w:p>
                <w:p w14:paraId="7A7FE8C8" w14:textId="77777777" w:rsidR="00000000" w:rsidRDefault="007D6DFA">
                  <w:pPr>
                    <w:jc w:val="center"/>
                    <w:rPr>
                      <w:b/>
                      <w:sz w:val="72"/>
                      <w:szCs w:val="72"/>
                    </w:rPr>
                  </w:pPr>
                  <w:r>
                    <w:rPr>
                      <w:b/>
                      <w:sz w:val="72"/>
                      <w:szCs w:val="72"/>
                    </w:rPr>
                    <w:t xml:space="preserve">Februari </w:t>
                  </w:r>
                </w:p>
                <w:p w14:paraId="18122C1B" w14:textId="77777777" w:rsidR="00000000" w:rsidRDefault="007D6DFA">
                  <w:pPr>
                    <w:jc w:val="center"/>
                    <w:rPr>
                      <w:b/>
                      <w:sz w:val="36"/>
                      <w:szCs w:val="36"/>
                    </w:rPr>
                  </w:pPr>
                  <w:r>
                    <w:rPr>
                      <w:b/>
                      <w:sz w:val="72"/>
                      <w:szCs w:val="72"/>
                    </w:rPr>
                    <w:t>2010</w:t>
                  </w:r>
                </w:p>
              </w:tc>
            </w:tr>
          </w:tbl>
          <w:p w14:paraId="140511A4" w14:textId="77777777" w:rsidR="00000000" w:rsidRDefault="007D6DFA">
            <w:pPr>
              <w:jc w:val="center"/>
              <w:rPr>
                <w:b/>
                <w:sz w:val="36"/>
                <w:szCs w:val="36"/>
              </w:rPr>
            </w:pPr>
          </w:p>
        </w:tc>
      </w:tr>
    </w:tbl>
    <w:p w14:paraId="23635D81" w14:textId="77777777" w:rsidR="00000000" w:rsidRDefault="007D6DFA"/>
    <w:tbl>
      <w:tblPr>
        <w:tblStyle w:val="Tabellrutnt"/>
        <w:tblW w:w="0" w:type="auto"/>
        <w:tblInd w:w="38" w:type="dxa"/>
        <w:tblLook w:val="01E0" w:firstRow="1" w:lastRow="1" w:firstColumn="1" w:lastColumn="1" w:noHBand="0" w:noVBand="0"/>
      </w:tblPr>
      <w:tblGrid>
        <w:gridCol w:w="9024"/>
      </w:tblGrid>
      <w:tr w:rsidR="00000000" w14:paraId="58C8B2AF" w14:textId="77777777">
        <w:tc>
          <w:tcPr>
            <w:tcW w:w="9212" w:type="dxa"/>
          </w:tcPr>
          <w:p w14:paraId="3606DA55" w14:textId="77777777" w:rsidR="00000000" w:rsidRDefault="007D6DFA">
            <w:pPr>
              <w:jc w:val="center"/>
              <w:rPr>
                <w:rFonts w:ascii="Verdana" w:hAnsi="Verdana"/>
                <w:sz w:val="20"/>
                <w:szCs w:val="20"/>
              </w:rPr>
            </w:pPr>
            <w:r>
              <w:rPr>
                <w:rFonts w:ascii="Verdana" w:hAnsi="Verdana"/>
                <w:b/>
              </w:rPr>
              <w:t>Trappuppgångar</w:t>
            </w:r>
          </w:p>
          <w:p w14:paraId="3FF2B8C2" w14:textId="77777777" w:rsidR="00000000" w:rsidRDefault="007D6DFA">
            <w:pPr>
              <w:jc w:val="center"/>
              <w:rPr>
                <w:rFonts w:ascii="Verdana" w:hAnsi="Verdana"/>
                <w:sz w:val="20"/>
                <w:szCs w:val="20"/>
              </w:rPr>
            </w:pPr>
          </w:p>
          <w:p w14:paraId="5DA6C80F" w14:textId="77777777" w:rsidR="00000000" w:rsidRDefault="007D6DFA">
            <w:pPr>
              <w:rPr>
                <w:rFonts w:ascii="Verdana" w:hAnsi="Verdana"/>
                <w:sz w:val="20"/>
                <w:szCs w:val="20"/>
              </w:rPr>
            </w:pPr>
            <w:r>
              <w:rPr>
                <w:rFonts w:ascii="Verdana" w:hAnsi="Verdana"/>
                <w:sz w:val="20"/>
                <w:szCs w:val="20"/>
              </w:rPr>
              <w:t>På förekommen anledning får vi härmed meddela att förvaring av sopor i trappuppgångarna under inga omständigheter får förekomma. Skälet för det ä</w:t>
            </w:r>
            <w:r>
              <w:rPr>
                <w:rFonts w:ascii="Verdana" w:hAnsi="Verdana"/>
                <w:sz w:val="20"/>
                <w:szCs w:val="20"/>
              </w:rPr>
              <w:t>r bland annat följande:</w:t>
            </w:r>
          </w:p>
          <w:p w14:paraId="6255E2A1" w14:textId="77777777" w:rsidR="00000000" w:rsidRDefault="007D6DFA">
            <w:pPr>
              <w:rPr>
                <w:rFonts w:ascii="Verdana" w:hAnsi="Verdana"/>
                <w:sz w:val="20"/>
                <w:szCs w:val="20"/>
              </w:rPr>
            </w:pPr>
          </w:p>
          <w:p w14:paraId="13E42C02" w14:textId="77777777" w:rsidR="00000000" w:rsidRDefault="007D6DFA">
            <w:pPr>
              <w:numPr>
                <w:ilvl w:val="0"/>
                <w:numId w:val="2"/>
              </w:numPr>
              <w:rPr>
                <w:rFonts w:ascii="Verdana" w:hAnsi="Verdana"/>
                <w:sz w:val="20"/>
                <w:szCs w:val="20"/>
              </w:rPr>
            </w:pPr>
            <w:r>
              <w:rPr>
                <w:rFonts w:ascii="Verdana" w:hAnsi="Verdana"/>
                <w:sz w:val="20"/>
                <w:szCs w:val="20"/>
              </w:rPr>
              <w:t>det är en sanitär olägenhet</w:t>
            </w:r>
          </w:p>
          <w:p w14:paraId="33790352" w14:textId="77777777" w:rsidR="00000000" w:rsidRDefault="007D6DFA">
            <w:pPr>
              <w:numPr>
                <w:ilvl w:val="0"/>
                <w:numId w:val="2"/>
              </w:numPr>
              <w:rPr>
                <w:rFonts w:ascii="Verdana" w:hAnsi="Verdana"/>
                <w:sz w:val="20"/>
                <w:szCs w:val="20"/>
              </w:rPr>
            </w:pPr>
            <w:r>
              <w:rPr>
                <w:rFonts w:ascii="Verdana" w:hAnsi="Verdana"/>
                <w:sz w:val="20"/>
                <w:szCs w:val="20"/>
              </w:rPr>
              <w:t>ger ett mycket dåligt intryck</w:t>
            </w:r>
          </w:p>
          <w:p w14:paraId="44813C47" w14:textId="77777777" w:rsidR="00000000" w:rsidRDefault="007D6DFA">
            <w:pPr>
              <w:numPr>
                <w:ilvl w:val="0"/>
                <w:numId w:val="2"/>
              </w:numPr>
              <w:rPr>
                <w:rFonts w:ascii="Verdana" w:hAnsi="Verdana"/>
                <w:sz w:val="20"/>
                <w:szCs w:val="20"/>
              </w:rPr>
            </w:pPr>
            <w:r>
              <w:rPr>
                <w:rFonts w:ascii="Verdana" w:hAnsi="Verdana"/>
                <w:sz w:val="20"/>
                <w:szCs w:val="20"/>
              </w:rPr>
              <w:t>medför ökad brandfara</w:t>
            </w:r>
          </w:p>
          <w:p w14:paraId="2CF24151" w14:textId="77777777" w:rsidR="00000000" w:rsidRDefault="007D6DFA">
            <w:pPr>
              <w:rPr>
                <w:rFonts w:ascii="Verdana" w:hAnsi="Verdana"/>
                <w:sz w:val="20"/>
                <w:szCs w:val="20"/>
              </w:rPr>
            </w:pPr>
          </w:p>
          <w:p w14:paraId="64C08BE0" w14:textId="77777777" w:rsidR="00000000" w:rsidRDefault="007D6DFA">
            <w:pPr>
              <w:rPr>
                <w:rFonts w:ascii="Verdana" w:hAnsi="Verdana"/>
                <w:sz w:val="20"/>
                <w:szCs w:val="20"/>
              </w:rPr>
            </w:pPr>
            <w:r>
              <w:rPr>
                <w:rFonts w:ascii="Verdana" w:hAnsi="Verdana"/>
                <w:sz w:val="20"/>
                <w:szCs w:val="20"/>
              </w:rPr>
              <w:t>De som inte omedelbart vill bära ut sina sopor får helt enkelt förvara dessa inne i lägenheten.</w:t>
            </w:r>
          </w:p>
          <w:p w14:paraId="49C30D35" w14:textId="77777777" w:rsidR="00000000" w:rsidRDefault="007D6DFA">
            <w:pPr>
              <w:rPr>
                <w:rFonts w:ascii="Verdana" w:hAnsi="Verdana"/>
                <w:sz w:val="20"/>
                <w:szCs w:val="20"/>
              </w:rPr>
            </w:pPr>
          </w:p>
          <w:p w14:paraId="5ADE7541" w14:textId="77777777" w:rsidR="00000000" w:rsidRDefault="007D6DFA">
            <w:pPr>
              <w:rPr>
                <w:rFonts w:ascii="Verdana" w:hAnsi="Verdana"/>
                <w:sz w:val="20"/>
                <w:szCs w:val="20"/>
              </w:rPr>
            </w:pPr>
            <w:r>
              <w:rPr>
                <w:rFonts w:ascii="Verdana" w:hAnsi="Verdana"/>
                <w:sz w:val="20"/>
                <w:szCs w:val="20"/>
              </w:rPr>
              <w:t>I trappuppgångarna får heller inte förvaras mö</w:t>
            </w:r>
            <w:r>
              <w:rPr>
                <w:rFonts w:ascii="Verdana" w:hAnsi="Verdana"/>
                <w:sz w:val="20"/>
                <w:szCs w:val="20"/>
              </w:rPr>
              <w:t>bler eller barnvagnar etc. Detta är en ren brandsäkerhetsfråga. Vid en brand kan till exempel en barnvagn i en mörk och rökfylld trappuppgång medföra att man inte tar sig ut.</w:t>
            </w:r>
          </w:p>
          <w:p w14:paraId="23453800" w14:textId="77777777" w:rsidR="00000000" w:rsidRDefault="007D6DFA">
            <w:pPr>
              <w:rPr>
                <w:rFonts w:ascii="Verdana" w:hAnsi="Verdana"/>
                <w:sz w:val="20"/>
                <w:szCs w:val="20"/>
              </w:rPr>
            </w:pPr>
          </w:p>
          <w:p w14:paraId="3182155E" w14:textId="77777777" w:rsidR="00000000" w:rsidRDefault="007D6DFA">
            <w:pPr>
              <w:rPr>
                <w:rFonts w:ascii="Verdana" w:hAnsi="Verdana"/>
                <w:sz w:val="20"/>
                <w:szCs w:val="20"/>
              </w:rPr>
            </w:pPr>
            <w:r>
              <w:rPr>
                <w:rFonts w:ascii="Verdana" w:hAnsi="Verdana"/>
                <w:sz w:val="20"/>
                <w:szCs w:val="20"/>
              </w:rPr>
              <w:t>Vi ber samtliga medlemmar att uppmärksamma detta.</w:t>
            </w:r>
          </w:p>
          <w:p w14:paraId="667A87EB" w14:textId="77777777" w:rsidR="00000000" w:rsidRDefault="007D6DFA">
            <w:pPr>
              <w:rPr>
                <w:rFonts w:ascii="Verdana" w:hAnsi="Verdana"/>
                <w:sz w:val="20"/>
                <w:szCs w:val="20"/>
              </w:rPr>
            </w:pPr>
          </w:p>
          <w:p w14:paraId="05BD3B3C" w14:textId="77777777" w:rsidR="00000000" w:rsidRDefault="007D6DFA">
            <w:pPr>
              <w:jc w:val="center"/>
              <w:rPr>
                <w:rFonts w:ascii="Verdana" w:hAnsi="Verdana"/>
                <w:b/>
              </w:rPr>
            </w:pPr>
          </w:p>
          <w:p w14:paraId="47961FBF" w14:textId="77777777" w:rsidR="00000000" w:rsidRDefault="007D6DFA">
            <w:pPr>
              <w:jc w:val="center"/>
              <w:rPr>
                <w:rFonts w:ascii="Verdana" w:hAnsi="Verdana"/>
                <w:sz w:val="20"/>
                <w:szCs w:val="20"/>
              </w:rPr>
            </w:pPr>
            <w:r>
              <w:rPr>
                <w:rFonts w:ascii="Verdana" w:hAnsi="Verdana"/>
                <w:b/>
              </w:rPr>
              <w:t>Soprummet i källaren</w:t>
            </w:r>
          </w:p>
          <w:p w14:paraId="654CD001" w14:textId="77777777" w:rsidR="00000000" w:rsidRDefault="007D6DFA">
            <w:pPr>
              <w:rPr>
                <w:rFonts w:ascii="Verdana" w:hAnsi="Verdana"/>
                <w:sz w:val="20"/>
                <w:szCs w:val="20"/>
              </w:rPr>
            </w:pPr>
          </w:p>
          <w:p w14:paraId="4ED4AC99" w14:textId="77777777" w:rsidR="00000000" w:rsidRDefault="007D6DFA">
            <w:pPr>
              <w:rPr>
                <w:rFonts w:ascii="Verdana" w:hAnsi="Verdana"/>
                <w:sz w:val="20"/>
                <w:szCs w:val="20"/>
              </w:rPr>
            </w:pPr>
          </w:p>
          <w:p w14:paraId="4FEE5B8C" w14:textId="77777777" w:rsidR="00000000" w:rsidRDefault="007D6DFA">
            <w:pPr>
              <w:rPr>
                <w:rFonts w:ascii="Verdana" w:hAnsi="Verdana"/>
                <w:sz w:val="20"/>
                <w:szCs w:val="20"/>
              </w:rPr>
            </w:pPr>
            <w:r>
              <w:rPr>
                <w:rFonts w:ascii="Verdana" w:hAnsi="Verdana"/>
                <w:sz w:val="20"/>
                <w:szCs w:val="20"/>
              </w:rPr>
              <w:t>Vi be</w:t>
            </w:r>
            <w:r>
              <w:rPr>
                <w:rFonts w:ascii="Verdana" w:hAnsi="Verdana"/>
                <w:sz w:val="20"/>
                <w:szCs w:val="20"/>
              </w:rPr>
              <w:t>r samtliga medlemmar att respektera att grovsopor sedan länge inte får lämnas i soprummet. Vagnarna för elektronikskrot är avsedda för mindre enheter. Spisar, tvätt- och diskmaskiner, kylskåp, TV-apparater etc får du själv köra ut till återvinningscentrale</w:t>
            </w:r>
            <w:r>
              <w:rPr>
                <w:rFonts w:ascii="Verdana" w:hAnsi="Verdana"/>
                <w:sz w:val="20"/>
                <w:szCs w:val="20"/>
              </w:rPr>
              <w:t>n på Spikgatan. Detsamma gäller möbler etc, I soprummet i källaren kan endast lämnas mindre elektronikskrot, wellpapp, tidningar och papper, batterier, glödlampor, lysrör samt hushållsförpackningar av metall.</w:t>
            </w:r>
          </w:p>
          <w:p w14:paraId="063AEE44" w14:textId="77777777" w:rsidR="00000000" w:rsidRDefault="007D6DFA">
            <w:pPr>
              <w:rPr>
                <w:rFonts w:ascii="Verdana" w:hAnsi="Verdana"/>
                <w:sz w:val="20"/>
                <w:szCs w:val="20"/>
              </w:rPr>
            </w:pPr>
          </w:p>
          <w:p w14:paraId="1DD36977" w14:textId="77777777" w:rsidR="00000000" w:rsidRDefault="007D6DFA">
            <w:pPr>
              <w:rPr>
                <w:rFonts w:ascii="Verdana" w:hAnsi="Verdana"/>
                <w:sz w:val="20"/>
                <w:szCs w:val="20"/>
              </w:rPr>
            </w:pPr>
            <w:r>
              <w:rPr>
                <w:rFonts w:ascii="Verdana" w:hAnsi="Verdana"/>
                <w:sz w:val="20"/>
                <w:szCs w:val="20"/>
              </w:rPr>
              <w:t>Vissa medlemmar utnyttjar soprummet i källaren</w:t>
            </w:r>
            <w:r>
              <w:rPr>
                <w:rFonts w:ascii="Verdana" w:hAnsi="Verdana"/>
                <w:sz w:val="20"/>
                <w:szCs w:val="20"/>
              </w:rPr>
              <w:t xml:space="preserve"> för både möbler och större hushållsapparater vilket medför dryga kostnader för föreningen. Privatpersoner kan lämna skräp och skrot på återvinningscentralen utan någon kostnad. Detta gäller dock inte föreningen som får betala höga avgifter för allt som lä</w:t>
            </w:r>
            <w:r>
              <w:rPr>
                <w:rFonts w:ascii="Verdana" w:hAnsi="Verdana"/>
                <w:sz w:val="20"/>
                <w:szCs w:val="20"/>
              </w:rPr>
              <w:t>mnas till återvinning.</w:t>
            </w:r>
          </w:p>
          <w:p w14:paraId="5281CE00" w14:textId="77777777" w:rsidR="00000000" w:rsidRDefault="007D6DFA">
            <w:pPr>
              <w:rPr>
                <w:rFonts w:ascii="Verdana" w:hAnsi="Verdana"/>
                <w:sz w:val="20"/>
                <w:szCs w:val="20"/>
              </w:rPr>
            </w:pPr>
          </w:p>
        </w:tc>
      </w:tr>
    </w:tbl>
    <w:p w14:paraId="267BD7DD" w14:textId="77777777" w:rsidR="00000000" w:rsidRDefault="007D6DFA"/>
    <w:p w14:paraId="78150F86" w14:textId="77777777" w:rsidR="00000000" w:rsidRDefault="007D6DFA">
      <w:r>
        <w:t xml:space="preserve">                                                    </w:t>
      </w:r>
      <w:r>
        <w:rPr>
          <w:noProof/>
        </w:rPr>
        <w:drawing>
          <wp:inline distT="0" distB="0" distL="0" distR="0" wp14:anchorId="7B126E11" wp14:editId="0D15720C">
            <wp:extent cx="1752600" cy="292100"/>
            <wp:effectExtent l="0" t="0" r="0" b="12700"/>
            <wp:docPr id="2" name="Bild 2" descr="TripolisBladet_B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polisBladet_Bott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292100"/>
                    </a:xfrm>
                    <a:prstGeom prst="rect">
                      <a:avLst/>
                    </a:prstGeom>
                    <a:noFill/>
                    <a:ln>
                      <a:noFill/>
                    </a:ln>
                  </pic:spPr>
                </pic:pic>
              </a:graphicData>
            </a:graphic>
          </wp:inline>
        </w:drawing>
      </w:r>
    </w:p>
    <w:tbl>
      <w:tblPr>
        <w:tblStyle w:val="Tabellrutnt"/>
        <w:tblW w:w="0" w:type="auto"/>
        <w:tblInd w:w="0" w:type="dxa"/>
        <w:tblLook w:val="01E0" w:firstRow="1" w:lastRow="1" w:firstColumn="1" w:lastColumn="1" w:noHBand="0" w:noVBand="0"/>
      </w:tblPr>
      <w:tblGrid>
        <w:gridCol w:w="9212"/>
      </w:tblGrid>
      <w:tr w:rsidR="00000000" w14:paraId="16163E87" w14:textId="77777777">
        <w:tc>
          <w:tcPr>
            <w:tcW w:w="9212" w:type="dxa"/>
          </w:tcPr>
          <w:p w14:paraId="5B018A81" w14:textId="77777777" w:rsidR="00000000" w:rsidRDefault="007D6DFA">
            <w:pPr>
              <w:jc w:val="center"/>
              <w:rPr>
                <w:rFonts w:ascii="Verdana" w:hAnsi="Verdana"/>
                <w:sz w:val="22"/>
                <w:szCs w:val="22"/>
              </w:rPr>
            </w:pPr>
          </w:p>
          <w:p w14:paraId="652B5665" w14:textId="77777777" w:rsidR="00000000" w:rsidRDefault="007D6DFA">
            <w:pPr>
              <w:jc w:val="center"/>
              <w:rPr>
                <w:rFonts w:ascii="Verdana" w:hAnsi="Verdana"/>
                <w:sz w:val="22"/>
                <w:szCs w:val="22"/>
              </w:rPr>
            </w:pPr>
            <w:r>
              <w:rPr>
                <w:rFonts w:ascii="Verdana" w:hAnsi="Verdana"/>
                <w:sz w:val="22"/>
                <w:szCs w:val="22"/>
              </w:rPr>
              <w:t>Uppsala den 15 februari 2010</w:t>
            </w:r>
          </w:p>
          <w:p w14:paraId="4A9E513C" w14:textId="77777777" w:rsidR="00000000" w:rsidRDefault="007D6DFA">
            <w:pPr>
              <w:jc w:val="center"/>
              <w:rPr>
                <w:rFonts w:ascii="Verdana" w:hAnsi="Verdana"/>
                <w:sz w:val="22"/>
                <w:szCs w:val="22"/>
              </w:rPr>
            </w:pPr>
            <w:r>
              <w:rPr>
                <w:rFonts w:ascii="Verdana" w:hAnsi="Verdana"/>
                <w:sz w:val="22"/>
                <w:szCs w:val="22"/>
              </w:rPr>
              <w:t>Styrelsen för Brf Tripolis</w:t>
            </w:r>
          </w:p>
          <w:p w14:paraId="369F3DE5" w14:textId="77777777" w:rsidR="00000000" w:rsidRDefault="007D6DFA"/>
        </w:tc>
      </w:tr>
    </w:tbl>
    <w:p w14:paraId="6E698DB1" w14:textId="77777777" w:rsidR="007D6DFA" w:rsidRDefault="007D6DFA"/>
    <w:sectPr w:rsidR="007D6D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766B50"/>
    <w:multiLevelType w:val="hybridMultilevel"/>
    <w:tmpl w:val="3828B178"/>
    <w:lvl w:ilvl="0" w:tplc="A1D04CD6">
      <w:numFmt w:val="bullet"/>
      <w:lvlText w:val="-"/>
      <w:lvlJc w:val="left"/>
      <w:pPr>
        <w:tabs>
          <w:tab w:val="num" w:pos="720"/>
        </w:tabs>
        <w:ind w:left="720" w:hanging="360"/>
      </w:pPr>
      <w:rPr>
        <w:rFonts w:ascii="Verdana" w:eastAsia="Times New Roman" w:hAnsi="Verdana"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grammar="clean"/>
  <w:attachedTemplate r:id="rId1"/>
  <w:defaultTabStop w:val="1304"/>
  <w:hyphenationZone w:val="420"/>
  <w:characterSpacingControl w:val="doNotCompress"/>
  <w:savePreviewPicture/>
  <w:compat>
    <w:compatSetting w:name="compatibilityMode" w:uri="http://schemas.microsoft.com/office/word" w:val="15"/>
    <w:compatSetting w:name="differentiateMultirowTableHeaders" w:uri="http://schemas.microsoft.com/office/word" w:val="1"/>
  </w:compat>
  <w:rsids>
    <w:rsidRoot w:val="0058016B"/>
    <w:rsid w:val="0058016B"/>
    <w:rsid w:val="007D6D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53B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semiHidden/>
    <w:unhideWhenUsed/>
    <w:rPr>
      <w:color w:val="0000FF"/>
      <w:u w:val="single"/>
    </w:rPr>
  </w:style>
  <w:style w:type="character" w:styleId="AnvndHyperlnk">
    <w:name w:val="FollowedHyperlink"/>
    <w:basedOn w:val="Standardstycketeckensnitt"/>
    <w:semiHidden/>
    <w:unhideWhenUsed/>
    <w:rPr>
      <w:color w:val="800080"/>
      <w:u w:val="single"/>
    </w:rPr>
  </w:style>
  <w:style w:type="table" w:styleId="Tabellrutnt">
    <w:name w:val="Table Grid"/>
    <w:basedOn w:val="Normaltabell"/>
    <w:rPr>
      <w:lang w:val="sv-SE" w:eastAsia="sv-S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1414</Characters>
  <Application>Microsoft Macintosh Word</Application>
  <DocSecurity>0</DocSecurity>
  <Lines>41</Lines>
  <Paragraphs>17</Paragraphs>
  <ScaleCrop>false</ScaleCrop>
  <Company>Cytise AB</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Anders Haglund</dc:creator>
  <cp:keywords/>
  <dc:description/>
  <cp:lastModifiedBy>Microsoft Office-användare</cp:lastModifiedBy>
  <cp:revision>2</cp:revision>
  <dcterms:created xsi:type="dcterms:W3CDTF">2017-10-29T12:10:00Z</dcterms:created>
  <dcterms:modified xsi:type="dcterms:W3CDTF">2017-10-29T12:10:00Z</dcterms:modified>
</cp:coreProperties>
</file>