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3449"/>
        <w:gridCol w:w="5613"/>
      </w:tblGrid>
      <w:tr w:rsidR="00000000" w14:paraId="4D170AE7" w14:textId="77777777">
        <w:tc>
          <w:tcPr>
            <w:tcW w:w="3528" w:type="dxa"/>
            <w:hideMark/>
          </w:tcPr>
          <w:p w14:paraId="6CAC9491" w14:textId="77777777" w:rsidR="00000000" w:rsidRDefault="004A5F2C">
            <w:pPr>
              <w:rPr>
                <w:sz w:val="72"/>
                <w:szCs w:val="72"/>
              </w:rPr>
            </w:pPr>
            <w:bookmarkStart w:id="0" w:name="_GoBack"/>
            <w:bookmarkEnd w:id="0"/>
            <w:r>
              <w:rPr>
                <w:sz w:val="72"/>
                <w:szCs w:val="72"/>
              </w:rPr>
              <w:t xml:space="preserve">    </w:t>
            </w:r>
            <w:r>
              <w:rPr>
                <w:noProof/>
                <w:sz w:val="72"/>
                <w:szCs w:val="72"/>
                <w:lang w:val="sv-SE" w:eastAsia="sv-SE" w:bidi="ar-SA"/>
              </w:rPr>
              <w:drawing>
                <wp:inline distT="0" distB="0" distL="0" distR="0" wp14:anchorId="51F31428" wp14:editId="755919F8">
                  <wp:extent cx="1460500" cy="2857500"/>
                  <wp:effectExtent l="0" t="0" r="12700" b="12700"/>
                  <wp:docPr id="1" name="Bild 1" descr="TripolisBladet_Vänster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polisBladet_Vänster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</w:tcPr>
          <w:p w14:paraId="33CC68C6" w14:textId="77777777" w:rsidR="00000000" w:rsidRDefault="004A5F2C">
            <w:pPr>
              <w:rPr>
                <w:sz w:val="88"/>
                <w:szCs w:val="88"/>
                <w:u w:val="single"/>
              </w:rPr>
            </w:pPr>
            <w:r>
              <w:rPr>
                <w:sz w:val="88"/>
                <w:szCs w:val="88"/>
                <w:u w:val="single"/>
              </w:rPr>
              <w:t>T R I P O L I S</w:t>
            </w:r>
          </w:p>
          <w:p w14:paraId="43DC5590" w14:textId="77777777" w:rsidR="00000000" w:rsidRDefault="004A5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BOSTADSRÄTTSFÖRENINGEN TRIPOLIS</w:t>
            </w:r>
          </w:p>
          <w:p w14:paraId="76CB42C9" w14:textId="77777777" w:rsidR="00000000" w:rsidRDefault="004A5F2C">
            <w:pPr>
              <w:rPr>
                <w:b/>
                <w:sz w:val="36"/>
                <w:szCs w:val="36"/>
              </w:rPr>
            </w:pPr>
          </w:p>
          <w:tbl>
            <w:tblPr>
              <w:tblStyle w:val="Tabellrutnt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4913"/>
            </w:tblGrid>
            <w:tr w:rsidR="00000000" w14:paraId="3227187E" w14:textId="77777777"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E122D" w14:textId="77777777" w:rsidR="00000000" w:rsidRDefault="004A5F2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Tripolisbladet</w:t>
                  </w:r>
                </w:p>
                <w:p w14:paraId="729C3D9C" w14:textId="77777777" w:rsidR="00000000" w:rsidRDefault="004A5F2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December </w:t>
                  </w:r>
                </w:p>
                <w:p w14:paraId="6EF46DD9" w14:textId="77777777" w:rsidR="00000000" w:rsidRDefault="004A5F2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2009</w:t>
                  </w:r>
                </w:p>
              </w:tc>
            </w:tr>
          </w:tbl>
          <w:p w14:paraId="20E35A97" w14:textId="77777777" w:rsidR="00000000" w:rsidRDefault="004A5F2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80A14AA" w14:textId="77777777" w:rsidR="00000000" w:rsidRDefault="004A5F2C"/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4482"/>
        <w:gridCol w:w="4580"/>
      </w:tblGrid>
      <w:tr w:rsidR="00000000" w14:paraId="68BA0819" w14:textId="77777777">
        <w:trPr>
          <w:trHeight w:val="8166"/>
        </w:trPr>
        <w:tc>
          <w:tcPr>
            <w:tcW w:w="4606" w:type="dxa"/>
          </w:tcPr>
          <w:p w14:paraId="05C781F2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51D0DFA1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2010 års avgifter</w:t>
            </w:r>
          </w:p>
          <w:p w14:paraId="551FFE9A" w14:textId="77777777" w:rsidR="00000000" w:rsidRDefault="004A5F2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7772EFD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Styrelsen har beslutat 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>sänka</w:t>
            </w:r>
            <w:r>
              <w:rPr>
                <w:rFonts w:ascii="Verdana" w:hAnsi="Verdana"/>
                <w:sz w:val="18"/>
                <w:szCs w:val="18"/>
              </w:rPr>
              <w:t xml:space="preserve"> avgifterna med 3% under 2010. Sänkningen sker till följd av lägre räntekostnader. Styrelsen följer utvecklingen på </w:t>
            </w:r>
            <w:r>
              <w:rPr>
                <w:rFonts w:ascii="Verdana" w:hAnsi="Verdana"/>
                <w:sz w:val="18"/>
                <w:szCs w:val="18"/>
              </w:rPr>
              <w:t>finansmarknaden med tanke på eventuella räntehöjningar.</w:t>
            </w:r>
          </w:p>
          <w:p w14:paraId="42527FF8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720421AF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238D398D" w14:textId="77777777" w:rsidR="00000000" w:rsidRDefault="004A5F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Julpub</w:t>
            </w:r>
          </w:p>
          <w:p w14:paraId="7BE59D2D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32CBC813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 traditionella julpuben går av stapeln fredagen den 11 december kl 19.00 i samlingsrummet i källaren under 38B och 38C.</w:t>
            </w:r>
          </w:p>
          <w:p w14:paraId="4EC75D23" w14:textId="77777777" w:rsidR="00000000" w:rsidRDefault="004A5F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Välkomna !</w:t>
            </w:r>
          </w:p>
          <w:p w14:paraId="514CF88E" w14:textId="77777777" w:rsidR="00000000" w:rsidRDefault="004A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E84E8F" w14:textId="77777777" w:rsidR="00000000" w:rsidRDefault="004A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1A77CD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Vindsfönster</w:t>
            </w:r>
          </w:p>
          <w:p w14:paraId="0172C1A1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2A7ADBE9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 har </w:t>
            </w:r>
            <w:r>
              <w:rPr>
                <w:rFonts w:ascii="Verdana" w:hAnsi="Verdana"/>
                <w:sz w:val="18"/>
                <w:szCs w:val="18"/>
              </w:rPr>
              <w:t xml:space="preserve">haft ytterligare en incident med ett takfönster som lossnat från sina fästen. Turligt nog lyckades man hålla i detta fönster och få in det i lägenheten. Styrelsen utreder för närvarande utbyte av samtliga takfönster. Vi ber samtliga boende på vinden att 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>in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>te</w:t>
            </w:r>
            <w:r>
              <w:rPr>
                <w:rFonts w:ascii="Verdana" w:hAnsi="Verdana"/>
                <w:sz w:val="18"/>
                <w:szCs w:val="18"/>
              </w:rPr>
              <w:t xml:space="preserve"> öppna takfönstren. Vi återkommer snarast med mer information till de som bor i vindslägenheterna.</w:t>
            </w:r>
          </w:p>
          <w:p w14:paraId="465349BE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0440EA09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495F1B8F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Radonmätning</w:t>
            </w:r>
          </w:p>
          <w:p w14:paraId="60B110F1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03E3DF25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Styrelsen har beslutat att genomföra en radonmätning av fastigheten. </w:t>
            </w:r>
            <w:hyperlink r:id="rId5" w:history="1">
              <w:r>
                <w:rPr>
                  <w:rStyle w:val="Hyperlnk"/>
                  <w:rFonts w:ascii="Verdana" w:hAnsi="Verdana"/>
                  <w:sz w:val="18"/>
                  <w:szCs w:val="18"/>
                </w:rPr>
                <w:t>Information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har lämnats separat tillsamtliga medlemmar.</w:t>
            </w:r>
          </w:p>
        </w:tc>
        <w:tc>
          <w:tcPr>
            <w:tcW w:w="4606" w:type="dxa"/>
          </w:tcPr>
          <w:p w14:paraId="57F45001" w14:textId="77777777" w:rsidR="00000000" w:rsidRDefault="004A5F2C"/>
          <w:p w14:paraId="52AE0DBB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Ny hemsida</w:t>
            </w:r>
          </w:p>
          <w:p w14:paraId="7A5190D4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262E0350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Den 1 oktober lanserade föreningen en ny hemsida. Hemsidan är som tidigare uppdelad i en extern del, som all kan komma åt, och en intern del, som nås med individuella lösenord. För </w:t>
            </w:r>
            <w:r>
              <w:rPr>
                <w:rFonts w:ascii="Verdana" w:hAnsi="Verdana"/>
                <w:sz w:val="18"/>
                <w:szCs w:val="18"/>
              </w:rPr>
              <w:t>att första gången komma åt den interna delen av hemsidan skall du ange ditt lägenhetsnummer som användar-id och sirius som lösenord. När du angett detta kommer du omedelbart att få byta lösenord. Det lösenord som du då anger är det lösenord som du skall an</w:t>
            </w:r>
            <w:r>
              <w:rPr>
                <w:rFonts w:ascii="Verdana" w:hAnsi="Verdana"/>
                <w:sz w:val="18"/>
                <w:szCs w:val="18"/>
              </w:rPr>
              <w:t>vända fortsättningsvis.</w:t>
            </w:r>
          </w:p>
          <w:p w14:paraId="4E41D5ED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4EB8B1F9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Lägenhetsnumret finns på din hyresavi och/eller på karmen ovanför din ytterdörr på utsidan. Lägenhetsnumret består av trappuppgång plus ett tvåsiffrigt löpnummer.</w:t>
            </w:r>
          </w:p>
          <w:p w14:paraId="1E90853C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2954183A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På hemsidan kommer vi löpande att lägga ut ny information. Styrelse</w:t>
            </w:r>
            <w:r>
              <w:rPr>
                <w:rFonts w:ascii="Verdana" w:hAnsi="Verdana"/>
                <w:sz w:val="18"/>
                <w:szCs w:val="18"/>
              </w:rPr>
              <w:t>n tar gärna emot era synpunkter på innehållet på hemsidan och hur vi kan göra den ännu bättre.</w:t>
            </w:r>
          </w:p>
          <w:p w14:paraId="1A324336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154935CD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34A1C261" w14:textId="77777777" w:rsidR="00000000" w:rsidRDefault="004A5F2C">
            <w:pPr>
              <w:jc w:val="center"/>
              <w:rPr>
                <w:rStyle w:val="Hyperlnk"/>
                <w:b/>
                <w:sz w:val="22"/>
                <w:szCs w:val="22"/>
              </w:rPr>
            </w:pPr>
            <w:hyperlink r:id="rId6" w:history="1">
              <w:r>
                <w:rPr>
                  <w:rStyle w:val="Hyperlnk"/>
                  <w:rFonts w:ascii="Verdana" w:hAnsi="Verdana"/>
                  <w:b/>
                  <w:sz w:val="22"/>
                  <w:szCs w:val="22"/>
                </w:rPr>
                <w:t>2010 års överlåtelse och pant-</w:t>
              </w:r>
            </w:hyperlink>
          </w:p>
          <w:p w14:paraId="3CAAD2F6" w14:textId="77777777" w:rsidR="00000000" w:rsidRDefault="004A5F2C">
            <w:pPr>
              <w:jc w:val="center"/>
            </w:pPr>
            <w:hyperlink r:id="rId7" w:history="1">
              <w:r>
                <w:rPr>
                  <w:rStyle w:val="Hyperlnk"/>
                  <w:rFonts w:ascii="Verdana" w:hAnsi="Verdana"/>
                  <w:b/>
                  <w:sz w:val="22"/>
                  <w:szCs w:val="22"/>
                </w:rPr>
                <w:t>sättningsavgifter</w:t>
              </w:r>
            </w:hyperlink>
          </w:p>
          <w:p w14:paraId="006C0B67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4BFE0E56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För 2010 gäller följande avgifter för överlåtelse eller pantsättning. Inom parentes 2009 års avgifter.</w:t>
            </w:r>
          </w:p>
          <w:tbl>
            <w:tblPr>
              <w:tblStyle w:val="Tabellrutnt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955"/>
              <w:gridCol w:w="1179"/>
              <w:gridCol w:w="1220"/>
            </w:tblGrid>
            <w:tr w:rsidR="00000000" w14:paraId="37ADB391" w14:textId="77777777">
              <w:tc>
                <w:tcPr>
                  <w:tcW w:w="1458" w:type="dxa"/>
                  <w:hideMark/>
                </w:tcPr>
                <w:p w14:paraId="6C78E19E" w14:textId="77777777" w:rsidR="00000000" w:rsidRDefault="004A5F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Överlåtelseavgift</w:t>
                  </w:r>
                </w:p>
              </w:tc>
              <w:tc>
                <w:tcPr>
                  <w:tcW w:w="1458" w:type="dxa"/>
                  <w:hideMark/>
                </w:tcPr>
                <w:p w14:paraId="747450AC" w14:textId="77777777" w:rsidR="00000000" w:rsidRDefault="004A5F2C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1.060:-</w:t>
                  </w:r>
                </w:p>
              </w:tc>
              <w:tc>
                <w:tcPr>
                  <w:tcW w:w="1459" w:type="dxa"/>
                  <w:hideMark/>
                </w:tcPr>
                <w:p w14:paraId="2D47D471" w14:textId="77777777" w:rsidR="00000000" w:rsidRDefault="004A5F2C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(1.070:-)</w:t>
                  </w:r>
                </w:p>
              </w:tc>
            </w:tr>
            <w:tr w:rsidR="00000000" w14:paraId="30CBF61F" w14:textId="77777777">
              <w:tc>
                <w:tcPr>
                  <w:tcW w:w="1458" w:type="dxa"/>
                  <w:hideMark/>
                </w:tcPr>
                <w:p w14:paraId="1DCE8437" w14:textId="77777777" w:rsidR="00000000" w:rsidRDefault="004A5F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Pantsättningsavgift</w:t>
                  </w:r>
                </w:p>
              </w:tc>
              <w:tc>
                <w:tcPr>
                  <w:tcW w:w="1458" w:type="dxa"/>
                  <w:hideMark/>
                </w:tcPr>
                <w:p w14:paraId="16B2F0D9" w14:textId="77777777" w:rsidR="00000000" w:rsidRDefault="004A5F2C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424:-</w:t>
                  </w:r>
                </w:p>
              </w:tc>
              <w:tc>
                <w:tcPr>
                  <w:tcW w:w="1459" w:type="dxa"/>
                  <w:hideMark/>
                </w:tcPr>
                <w:p w14:paraId="69CE7784" w14:textId="77777777" w:rsidR="00000000" w:rsidRDefault="004A5F2C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(428:-)</w:t>
                  </w:r>
                </w:p>
              </w:tc>
            </w:tr>
          </w:tbl>
          <w:p w14:paraId="1BADBDB5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Avgifterna följer utvecklingen av prisbasbeloppet. Fö</w:t>
            </w:r>
            <w:r>
              <w:rPr>
                <w:rFonts w:ascii="Verdana" w:hAnsi="Verdana"/>
                <w:sz w:val="18"/>
                <w:szCs w:val="18"/>
              </w:rPr>
              <w:t>r 2010 har avgifterna sänkts till följd av ett lägre prisbasbelopp.</w:t>
            </w:r>
          </w:p>
          <w:p w14:paraId="7353964D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D5984C" w14:textId="77777777" w:rsidR="00000000" w:rsidRDefault="004A5F2C">
      <w:r>
        <w:lastRenderedPageBreak/>
        <w:br w:type="page"/>
      </w:r>
    </w:p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000000" w14:paraId="3A56F8E6" w14:textId="77777777">
        <w:trPr>
          <w:trHeight w:val="6547"/>
        </w:trPr>
        <w:tc>
          <w:tcPr>
            <w:tcW w:w="4606" w:type="dxa"/>
          </w:tcPr>
          <w:p w14:paraId="7440870E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Trädgården</w:t>
            </w:r>
          </w:p>
          <w:p w14:paraId="6A8A100E" w14:textId="77777777" w:rsidR="00000000" w:rsidRDefault="004A5F2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D96DF8C" w14:textId="77777777" w:rsidR="00000000" w:rsidRDefault="004A5F2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00ADE5E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Stort tack tillalla som hjälpte till att rensa upp gården under hösten. Det var ovanligt många som ställde upp och hjälpte till.</w:t>
            </w:r>
          </w:p>
          <w:p w14:paraId="2C019431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539EDFAF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Stort tack också </w:t>
            </w:r>
            <w:r>
              <w:rPr>
                <w:rFonts w:ascii="Verdana" w:hAnsi="Verdana"/>
                <w:sz w:val="18"/>
                <w:szCs w:val="18"/>
              </w:rPr>
              <w:t>till Julgransgruppen som lagom till 1:a Advent satte upp en väldigt fin julgran på vår gård.</w:t>
            </w:r>
          </w:p>
          <w:p w14:paraId="10F82C25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1BC24CAD" w14:textId="77777777" w:rsidR="00000000" w:rsidRDefault="004A5F2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8045C65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Container på parkeringen</w:t>
            </w:r>
          </w:p>
          <w:p w14:paraId="2A595679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40573A3F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6D625801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Nästa tillfälle då föreningen kommer att ha container på lastplatsen vid parkeringen är den:</w:t>
            </w:r>
          </w:p>
          <w:p w14:paraId="70D70563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03F69DE1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 Februari 2010.</w:t>
            </w:r>
          </w:p>
          <w:p w14:paraId="27137E68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31E52211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Grindar</w:t>
            </w:r>
          </w:p>
          <w:p w14:paraId="3E58A830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6A391440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2ACABAC9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 och till</w:t>
            </w:r>
            <w:r>
              <w:rPr>
                <w:rFonts w:ascii="Verdana" w:hAnsi="Verdana"/>
                <w:sz w:val="18"/>
                <w:szCs w:val="18"/>
              </w:rPr>
              <w:t xml:space="preserve"> händer det att grindarna inte går i lås. Vi ber samtliga att se upp med detta. Vi har påtalat problemet för leverantören. Det händer också att obehöriga personer uppehåller sig på gården eller i källaren. Även detta bör vi se upp med.</w:t>
            </w:r>
          </w:p>
        </w:tc>
        <w:tc>
          <w:tcPr>
            <w:tcW w:w="4606" w:type="dxa"/>
          </w:tcPr>
          <w:p w14:paraId="3E6C7B33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Källargångar</w:t>
            </w:r>
          </w:p>
          <w:p w14:paraId="62BF269F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5A398C75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6CCE5784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Förva</w:t>
            </w:r>
            <w:r>
              <w:rPr>
                <w:rFonts w:ascii="Verdana" w:hAnsi="Verdana"/>
                <w:sz w:val="18"/>
                <w:szCs w:val="18"/>
              </w:rPr>
              <w:t>ring av möbler och andra saker får under inga omständigheter ske i våra källargångar. Saker som förvaras i våra källargångar kommer utan förvarning att borttagas. En del verkar ha satt i system att göra sig av med grovsopor i källargångarna. Detta får övri</w:t>
            </w:r>
            <w:r>
              <w:rPr>
                <w:rFonts w:ascii="Verdana" w:hAnsi="Verdana"/>
                <w:sz w:val="18"/>
                <w:szCs w:val="18"/>
              </w:rPr>
              <w:t>ga medlemmar betala för att transportera bort.</w:t>
            </w:r>
          </w:p>
          <w:p w14:paraId="43005C30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7FDD7360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6DA03730" w14:textId="77777777" w:rsidR="00000000" w:rsidRDefault="004A5F2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Stegar i källaren</w:t>
            </w:r>
          </w:p>
          <w:p w14:paraId="36721C75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52BA7D42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</w:p>
          <w:p w14:paraId="57643520" w14:textId="77777777" w:rsidR="00000000" w:rsidRDefault="004A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Föreningen har 4 st stegar som finns i källaren en i varje hörn av huset. Stegarna kan lånas via respektive </w:t>
            </w:r>
            <w:hyperlink r:id="rId8" w:history="1">
              <w:r>
                <w:rPr>
                  <w:rStyle w:val="Hyperlnk"/>
                  <w:rFonts w:ascii="Verdana" w:hAnsi="Verdana"/>
                  <w:sz w:val="18"/>
                  <w:szCs w:val="18"/>
                </w:rPr>
                <w:t>trappvärd</w:t>
              </w:r>
            </w:hyperlink>
            <w:r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Tyvärr verkar några av stegarna ha kommit på avvägar. Du som lånat en stege och inte återlämnat den ombedes göra detta snarast.</w:t>
            </w:r>
          </w:p>
        </w:tc>
      </w:tr>
    </w:tbl>
    <w:p w14:paraId="35975517" w14:textId="77777777" w:rsidR="00000000" w:rsidRDefault="004A5F2C"/>
    <w:p w14:paraId="09A81C6A" w14:textId="77777777" w:rsidR="00000000" w:rsidRDefault="004A5F2C"/>
    <w:p w14:paraId="1156C5CF" w14:textId="77777777" w:rsidR="00000000" w:rsidRDefault="004A5F2C"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76463E52" wp14:editId="7FD1BA1C">
            <wp:extent cx="1752600" cy="292100"/>
            <wp:effectExtent l="0" t="0" r="0" b="12700"/>
            <wp:docPr id="2" name="Bild 2" descr="TripolisBladet_Bo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polisBladet_Bott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9212"/>
      </w:tblGrid>
      <w:tr w:rsidR="00000000" w14:paraId="3C4948D7" w14:textId="77777777">
        <w:tc>
          <w:tcPr>
            <w:tcW w:w="9212" w:type="dxa"/>
          </w:tcPr>
          <w:p w14:paraId="48EF4B9F" w14:textId="77777777" w:rsidR="00000000" w:rsidRDefault="004A5F2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F350029" w14:textId="77777777" w:rsidR="00000000" w:rsidRDefault="004A5F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Styrelsen önskar alla en</w:t>
            </w:r>
          </w:p>
          <w:p w14:paraId="4F53DFDD" w14:textId="77777777" w:rsidR="00000000" w:rsidRDefault="004A5F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God Jul</w:t>
            </w:r>
          </w:p>
          <w:p w14:paraId="5FBFF940" w14:textId="77777777" w:rsidR="00000000" w:rsidRDefault="004A5F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och ett </w:t>
            </w:r>
          </w:p>
          <w:p w14:paraId="62C9EF87" w14:textId="77777777" w:rsidR="00000000" w:rsidRDefault="004A5F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Gott Nytt År</w:t>
            </w:r>
          </w:p>
          <w:p w14:paraId="77F701BB" w14:textId="77777777" w:rsidR="00000000" w:rsidRDefault="004A5F2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A0A4E28" w14:textId="77777777" w:rsidR="00000000" w:rsidRDefault="004A5F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Uppsala i dec</w:t>
            </w:r>
            <w:r>
              <w:rPr>
                <w:rFonts w:ascii="Verdana" w:hAnsi="Verdana"/>
                <w:sz w:val="22"/>
                <w:szCs w:val="22"/>
              </w:rPr>
              <w:t>ember 2009</w:t>
            </w:r>
          </w:p>
          <w:p w14:paraId="58652BAC" w14:textId="77777777" w:rsidR="00000000" w:rsidRDefault="004A5F2C"/>
        </w:tc>
      </w:tr>
    </w:tbl>
    <w:p w14:paraId="627C3466" w14:textId="77777777" w:rsidR="004A5F2C" w:rsidRDefault="004A5F2C"/>
    <w:sectPr w:rsidR="004A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attachedTemplate r:id="rId1"/>
  <w:defaultTabStop w:val="1304"/>
  <w:hyphenationZone w:val="420"/>
  <w:characterSpacingControl w:val="doNotCompress"/>
  <w:savePreviewPicture/>
  <w:compat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34F2"/>
    <w:rsid w:val="004A5F2C"/>
    <w:rsid w:val="00D5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379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unhideWhenUsed/>
    <w:rPr>
      <w:color w:val="0000FF"/>
      <w:u w:val="single"/>
    </w:rPr>
  </w:style>
  <w:style w:type="character" w:styleId="AnvndHyperlnk">
    <w:name w:val="FollowedHyperlink"/>
    <w:basedOn w:val="Standardstycketeckensnitt"/>
    <w:semiHidden/>
    <w:unhideWhenUsed/>
    <w:rPr>
      <w:color w:val="800080"/>
      <w:u w:val="single"/>
    </w:rPr>
  </w:style>
  <w:style w:type="table" w:styleId="Tabellrutnt">
    <w:name w:val="Table Grid"/>
    <w:basedOn w:val="Normaltabell"/>
    <w:rPr>
      <w:lang w:val="sv-SE" w:eastAsia="sv-S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www.tripolis.se/document/TripolisBladet_november.mht" TargetMode="External"/><Relationship Id="rId6" Type="http://schemas.openxmlformats.org/officeDocument/2006/relationships/hyperlink" Target="http://www.tripolis.se/document/TripolisPant.htm" TargetMode="External"/><Relationship Id="rId7" Type="http://schemas.openxmlformats.org/officeDocument/2006/relationships/hyperlink" Target="http://www.tripolis.se/document/TripolisPant.htm" TargetMode="External"/><Relationship Id="rId8" Type="http://schemas.openxmlformats.org/officeDocument/2006/relationships/hyperlink" Target="http://www.tripolis.se/document/Funktion&#228;rslista.htm" TargetMode="External"/><Relationship Id="rId9" Type="http://schemas.openxmlformats.org/officeDocument/2006/relationships/image" Target="media/image2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3219</Characters>
  <Application>Microsoft Macintosh Word</Application>
  <DocSecurity>0</DocSecurity>
  <Lines>94</Lines>
  <Paragraphs>39</Paragraphs>
  <ScaleCrop>false</ScaleCrop>
  <Company>Cytise AB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 Haglund</dc:creator>
  <cp:keywords/>
  <dc:description/>
  <cp:lastModifiedBy>Microsoft Office-användare</cp:lastModifiedBy>
  <cp:revision>2</cp:revision>
  <dcterms:created xsi:type="dcterms:W3CDTF">2017-10-29T12:10:00Z</dcterms:created>
  <dcterms:modified xsi:type="dcterms:W3CDTF">2017-10-29T12:10:00Z</dcterms:modified>
</cp:coreProperties>
</file>